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9C" w:rsidRPr="00EE1DFD" w:rsidRDefault="00BB3C9C" w:rsidP="00BB3C9C">
      <w:pPr>
        <w:pStyle w:val="6"/>
        <w:rPr>
          <w:rFonts w:eastAsia="Tahoma"/>
        </w:rPr>
      </w:pPr>
      <w:bookmarkStart w:id="0" w:name="_Toc142303250"/>
      <w:r w:rsidRPr="00EE1DFD">
        <w:rPr>
          <w:rFonts w:eastAsia="Tahoma"/>
        </w:rPr>
        <w:t>Приложение № 17 Алгоритм оценки интенсивности боли</w:t>
      </w:r>
      <w:bookmarkEnd w:id="0"/>
    </w:p>
    <w:p w:rsidR="00BB3C9C" w:rsidRDefault="00BB3C9C" w:rsidP="00BB3C9C">
      <w:pPr>
        <w:widowControl w:val="0"/>
        <w:tabs>
          <w:tab w:val="left" w:pos="6521"/>
        </w:tabs>
        <w:ind w:firstLine="567"/>
        <w:rPr>
          <w:rFonts w:eastAsia="Tahoma"/>
          <w:sz w:val="24"/>
          <w:szCs w:val="24"/>
          <w:lang w:bidi="ru-RU"/>
        </w:rPr>
      </w:pPr>
    </w:p>
    <w:p w:rsidR="00BB3C9C" w:rsidRPr="00F95B60" w:rsidRDefault="00BB3C9C" w:rsidP="00BB3C9C">
      <w:pPr>
        <w:rPr>
          <w:b/>
          <w:color w:val="2B2B2B"/>
          <w:sz w:val="24"/>
          <w:szCs w:val="24"/>
          <w:shd w:val="clear" w:color="auto" w:fill="FFFFFF"/>
        </w:rPr>
      </w:pPr>
      <w:r w:rsidRPr="00F95B60">
        <w:rPr>
          <w:b/>
          <w:color w:val="2B2B2B"/>
          <w:sz w:val="24"/>
          <w:szCs w:val="24"/>
          <w:shd w:val="clear" w:color="auto" w:fill="FFFFFF"/>
        </w:rPr>
        <w:t>Алгоритм оценки интенсивности боли</w:t>
      </w:r>
    </w:p>
    <w:p w:rsidR="00BB3C9C" w:rsidRPr="00F95B60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b/>
          <w:color w:val="2B2B2B"/>
          <w:sz w:val="24"/>
          <w:szCs w:val="24"/>
          <w:shd w:val="clear" w:color="auto" w:fill="FFFFFF"/>
        </w:rPr>
      </w:pPr>
      <w:r w:rsidRPr="00F95B60">
        <w:rPr>
          <w:color w:val="2B2B2B"/>
          <w:sz w:val="24"/>
          <w:szCs w:val="24"/>
          <w:shd w:val="clear" w:color="auto" w:fill="FFFFFF"/>
        </w:rPr>
        <w:t xml:space="preserve"> </w:t>
      </w:r>
      <w:r w:rsidRPr="00F95B60">
        <w:rPr>
          <w:b/>
          <w:color w:val="2B2B2B"/>
          <w:sz w:val="24"/>
          <w:szCs w:val="24"/>
          <w:shd w:val="clear" w:color="auto" w:fill="FFFFFF"/>
        </w:rPr>
        <w:t>Оснащение</w:t>
      </w:r>
      <w:r>
        <w:rPr>
          <w:b/>
          <w:color w:val="2B2B2B"/>
          <w:sz w:val="24"/>
          <w:szCs w:val="24"/>
          <w:shd w:val="clear" w:color="auto" w:fill="FFFFFF"/>
        </w:rPr>
        <w:t>:</w:t>
      </w:r>
    </w:p>
    <w:p w:rsidR="00BB3C9C" w:rsidRDefault="00BB3C9C" w:rsidP="00BB3C9C">
      <w:pPr>
        <w:rPr>
          <w:b/>
          <w:color w:val="2B2B2B"/>
          <w:sz w:val="24"/>
          <w:szCs w:val="24"/>
          <w:shd w:val="clear" w:color="auto" w:fill="FFFFFF"/>
        </w:rPr>
      </w:pPr>
      <w:r>
        <w:rPr>
          <w:b/>
          <w:color w:val="2B2B2B"/>
          <w:sz w:val="24"/>
          <w:szCs w:val="24"/>
          <w:shd w:val="clear" w:color="auto" w:fill="FFFFFF"/>
        </w:rPr>
        <w:t xml:space="preserve">- </w:t>
      </w:r>
      <w:r w:rsidRPr="00F95B60">
        <w:rPr>
          <w:color w:val="2B2B2B"/>
          <w:sz w:val="24"/>
          <w:szCs w:val="24"/>
          <w:shd w:val="clear" w:color="auto" w:fill="FFFFFF"/>
        </w:rPr>
        <w:t>визуаль</w:t>
      </w:r>
      <w:r>
        <w:rPr>
          <w:color w:val="2B2B2B"/>
          <w:sz w:val="24"/>
          <w:szCs w:val="24"/>
          <w:shd w:val="clear" w:color="auto" w:fill="FFFFFF"/>
        </w:rPr>
        <w:t>но-аналоговая шкала оценки боли;</w:t>
      </w:r>
    </w:p>
    <w:p w:rsidR="00BB3C9C" w:rsidRPr="00B45742" w:rsidRDefault="00BB3C9C" w:rsidP="00BB3C9C">
      <w:pPr>
        <w:rPr>
          <w:b/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>- в</w:t>
      </w:r>
      <w:r w:rsidRPr="00F95B60">
        <w:rPr>
          <w:color w:val="2B2B2B"/>
          <w:sz w:val="24"/>
          <w:szCs w:val="24"/>
          <w:shd w:val="clear" w:color="auto" w:fill="FFFFFF"/>
        </w:rPr>
        <w:t>ербальн</w:t>
      </w:r>
      <w:r>
        <w:rPr>
          <w:color w:val="2B2B2B"/>
          <w:sz w:val="24"/>
          <w:szCs w:val="24"/>
          <w:shd w:val="clear" w:color="auto" w:fill="FFFFFF"/>
        </w:rPr>
        <w:t>о-рейтинговая шкала оценки боли;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>- числовая шкала оценки боли;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>- к</w:t>
      </w:r>
      <w:r w:rsidRPr="00F95B60">
        <w:rPr>
          <w:color w:val="2B2B2B"/>
          <w:sz w:val="24"/>
          <w:szCs w:val="24"/>
          <w:shd w:val="clear" w:color="auto" w:fill="FFFFFF"/>
        </w:rPr>
        <w:t>о</w:t>
      </w:r>
      <w:r>
        <w:rPr>
          <w:color w:val="2B2B2B"/>
          <w:sz w:val="24"/>
          <w:szCs w:val="24"/>
          <w:shd w:val="clear" w:color="auto" w:fill="FFFFFF"/>
        </w:rPr>
        <w:t>мбинированная шкала оценки боли</w:t>
      </w:r>
    </w:p>
    <w:p w:rsidR="00BB3C9C" w:rsidRPr="00F95B60" w:rsidRDefault="00BB3C9C" w:rsidP="00BB3C9C">
      <w:pPr>
        <w:rPr>
          <w:sz w:val="24"/>
          <w:szCs w:val="24"/>
        </w:rPr>
      </w:pPr>
    </w:p>
    <w:p w:rsidR="00BB3C9C" w:rsidRPr="00F95B60" w:rsidRDefault="00BB3C9C" w:rsidP="00BB3C9C">
      <w:pPr>
        <w:shd w:val="clear" w:color="auto" w:fill="FFFFFF"/>
        <w:spacing w:after="150"/>
        <w:rPr>
          <w:b/>
          <w:color w:val="2B2B2B"/>
          <w:sz w:val="24"/>
          <w:szCs w:val="24"/>
        </w:rPr>
      </w:pPr>
      <w:r>
        <w:rPr>
          <w:b/>
          <w:color w:val="2B2B2B"/>
          <w:sz w:val="24"/>
          <w:szCs w:val="24"/>
        </w:rPr>
        <w:t>Подготовка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>1.Осуществить речевой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 контакта с пациентом, учитывая тяжесть состояния, возраст, уровень сознания, нарушения речи, наличи</w:t>
      </w:r>
      <w:r>
        <w:rPr>
          <w:color w:val="2B2B2B"/>
          <w:sz w:val="24"/>
          <w:szCs w:val="24"/>
          <w:shd w:val="clear" w:color="auto" w:fill="FFFFFF"/>
        </w:rPr>
        <w:t>е/отсутствие языкового барьера. П</w:t>
      </w:r>
      <w:r w:rsidRPr="00F95B60">
        <w:rPr>
          <w:color w:val="2B2B2B"/>
          <w:sz w:val="24"/>
          <w:szCs w:val="24"/>
          <w:shd w:val="clear" w:color="auto" w:fill="FFFFFF"/>
        </w:rPr>
        <w:t>ри невозможности речевого контакта с пациентом диагностировать и документировать невербальные признаки болевого синдрома (маркеры боли);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 xml:space="preserve">2. </w:t>
      </w:r>
      <w:r w:rsidRPr="00F95B60">
        <w:rPr>
          <w:color w:val="2B2B2B"/>
          <w:sz w:val="24"/>
          <w:szCs w:val="24"/>
          <w:shd w:val="clear" w:color="auto" w:fill="FFFFFF"/>
        </w:rPr>
        <w:t>Обработать руки гигиеническим способом, осушить.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Pr="00F95B60" w:rsidRDefault="00BB3C9C" w:rsidP="00BB3C9C">
      <w:pPr>
        <w:rPr>
          <w:b/>
          <w:color w:val="2B2B2B"/>
          <w:sz w:val="24"/>
          <w:szCs w:val="24"/>
          <w:shd w:val="clear" w:color="auto" w:fill="FFFFFF"/>
        </w:rPr>
      </w:pPr>
      <w:r w:rsidRPr="00F95B60">
        <w:rPr>
          <w:b/>
          <w:color w:val="2B2B2B"/>
          <w:sz w:val="24"/>
          <w:szCs w:val="24"/>
          <w:shd w:val="clear" w:color="auto" w:fill="FFFFFF"/>
        </w:rPr>
        <w:t xml:space="preserve">Выполнение процедуры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>1.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При наличии ясного сознания и возможности речевого контакта провести оценку уровня боли на диагностическом уровне: спросить у пациента о наличии боли.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 w:rsidRPr="00F95B60">
        <w:rPr>
          <w:color w:val="2B2B2B"/>
          <w:sz w:val="24"/>
          <w:szCs w:val="24"/>
          <w:shd w:val="clear" w:color="auto" w:fill="FFFFFF"/>
        </w:rPr>
        <w:t>При подтверждении паци</w:t>
      </w:r>
      <w:r>
        <w:rPr>
          <w:color w:val="2B2B2B"/>
          <w:sz w:val="24"/>
          <w:szCs w:val="24"/>
          <w:shd w:val="clear" w:color="auto" w:fill="FFFFFF"/>
        </w:rPr>
        <w:t>ентом наличия болевого синдрома, п</w:t>
      </w:r>
      <w:r w:rsidRPr="00F95B60">
        <w:rPr>
          <w:color w:val="2B2B2B"/>
          <w:sz w:val="24"/>
          <w:szCs w:val="24"/>
          <w:shd w:val="clear" w:color="auto" w:fill="FFFFFF"/>
        </w:rPr>
        <w:t>редложить пациенту оценить интенсивность боли по 5-балльной шкале.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 xml:space="preserve">2. 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Выяснить локализацию боли. Выяснить иррадиацию боли. Выяснить продолжительность боли. Выяснить характер боли. Полученные результаты документировать.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>3.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Зоны боли описать в терминах топографической анатомии или отметить на схематическом изображении человеческого тела.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>4.</w:t>
      </w:r>
      <w:r w:rsidRPr="00F95B60">
        <w:rPr>
          <w:color w:val="2B2B2B"/>
          <w:sz w:val="24"/>
          <w:szCs w:val="24"/>
          <w:shd w:val="clear" w:color="auto" w:fill="FFFFFF"/>
        </w:rPr>
        <w:t>При отрицании пациентом наличия болевого синдрома документировать в медицинской документации факт отсутствия боли в момент осмотра.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>5.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 При проведении повторного исследования уровня боли (динамический мониторинг уровня боли) провести оценку уровня боли на уровне динамической оценки.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 xml:space="preserve">6. 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Предложить пациенту отметить текущий уровень боли на 10-балльной шкале визуально-аналогового контроля.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 xml:space="preserve">7. 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Попросить пациента отметить на той же шкале уровень боли на момент предыдущего осмотра.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 xml:space="preserve">8. 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Оценить положительную/отрицательную динамику субъективной оценки болевого синдрома в абсолютных и/или относительных показателях.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 xml:space="preserve">9. 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Полученные результаты документировать.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 xml:space="preserve">10. </w:t>
      </w:r>
      <w:r w:rsidRPr="00F95B60">
        <w:rPr>
          <w:color w:val="2B2B2B"/>
          <w:sz w:val="24"/>
          <w:szCs w:val="24"/>
          <w:shd w:val="clear" w:color="auto" w:fill="FFFFFF"/>
        </w:rPr>
        <w:t>При проведении первичной оценки уровня боли, а также при изменении характера болевого синдрома провести оценку уров</w:t>
      </w:r>
      <w:r>
        <w:rPr>
          <w:color w:val="2B2B2B"/>
          <w:sz w:val="24"/>
          <w:szCs w:val="24"/>
          <w:shd w:val="clear" w:color="auto" w:fill="FFFFFF"/>
        </w:rPr>
        <w:t>ня боли на описательном уровне.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Pr="00F95B60" w:rsidRDefault="00BB3C9C" w:rsidP="00BB3C9C">
      <w:pPr>
        <w:rPr>
          <w:color w:val="2B2B2B"/>
          <w:sz w:val="24"/>
          <w:szCs w:val="24"/>
        </w:rPr>
      </w:pPr>
      <w:r>
        <w:rPr>
          <w:color w:val="2B2B2B"/>
          <w:sz w:val="24"/>
          <w:szCs w:val="24"/>
          <w:shd w:val="clear" w:color="auto" w:fill="FFFFFF"/>
        </w:rPr>
        <w:lastRenderedPageBreak/>
        <w:t>14.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Заполнить расчетные поля бланка вопросника.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bookmarkStart w:id="1" w:name="_GoBack"/>
      <w:bookmarkEnd w:id="1"/>
      <w:r>
        <w:rPr>
          <w:color w:val="2B2B2B"/>
          <w:sz w:val="24"/>
          <w:szCs w:val="24"/>
          <w:shd w:val="clear" w:color="auto" w:fill="FFFFFF"/>
        </w:rPr>
        <w:t xml:space="preserve">15. 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Ознакомить пациента с полученными результатами.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 xml:space="preserve">16. 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Обработать руки гигиеническим способом, осушить. 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 xml:space="preserve">17. </w:t>
      </w:r>
      <w:r w:rsidRPr="00F95B60">
        <w:rPr>
          <w:color w:val="2B2B2B"/>
          <w:sz w:val="24"/>
          <w:szCs w:val="24"/>
          <w:shd w:val="clear" w:color="auto" w:fill="FFFFFF"/>
        </w:rPr>
        <w:t>Сделать соответствующую запись о результатах выполнения в медицинской документации.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Pr="00F95B60" w:rsidRDefault="00BB3C9C" w:rsidP="00BB3C9C">
      <w:pPr>
        <w:rPr>
          <w:sz w:val="24"/>
          <w:szCs w:val="24"/>
        </w:rPr>
      </w:pPr>
      <w:r>
        <w:rPr>
          <w:color w:val="2B2B2B"/>
          <w:sz w:val="24"/>
          <w:szCs w:val="24"/>
          <w:shd w:val="clear" w:color="auto" w:fill="FFFFFF"/>
        </w:rPr>
        <w:t xml:space="preserve">18. 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 При отказе пациента от проведения оценки, а также при наличии подозрений в истинности предоставляемых данных (симуляция, аггравация, диссимуляция) диагностировать и документировать невербальные признаки болевого синдрома (маркеры боли).</w:t>
      </w: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</w:p>
    <w:p w:rsidR="00BB3C9C" w:rsidRDefault="00BB3C9C" w:rsidP="00BB3C9C">
      <w:pPr>
        <w:rPr>
          <w:color w:val="2B2B2B"/>
          <w:sz w:val="24"/>
          <w:szCs w:val="24"/>
          <w:shd w:val="clear" w:color="auto" w:fill="FFFFFF"/>
        </w:rPr>
      </w:pPr>
      <w:r>
        <w:rPr>
          <w:color w:val="2B2B2B"/>
          <w:sz w:val="24"/>
          <w:szCs w:val="24"/>
          <w:shd w:val="clear" w:color="auto" w:fill="FFFFFF"/>
        </w:rPr>
        <w:t>Примечание:</w:t>
      </w:r>
    </w:p>
    <w:p w:rsidR="00BB3C9C" w:rsidRPr="00F95B60" w:rsidRDefault="00BB3C9C" w:rsidP="00BB3C9C">
      <w:pPr>
        <w:ind w:left="360"/>
        <w:rPr>
          <w:color w:val="2B2B2B"/>
          <w:sz w:val="24"/>
          <w:szCs w:val="24"/>
          <w:shd w:val="clear" w:color="auto" w:fill="FFFFFF"/>
        </w:rPr>
      </w:pPr>
    </w:p>
    <w:p w:rsidR="00BB3C9C" w:rsidRPr="00F95B60" w:rsidRDefault="00BB3C9C" w:rsidP="00BB3C9C">
      <w:pPr>
        <w:rPr>
          <w:sz w:val="24"/>
          <w:szCs w:val="24"/>
        </w:rPr>
      </w:pPr>
    </w:p>
    <w:p w:rsidR="00BB3C9C" w:rsidRDefault="00BB3C9C" w:rsidP="00BB3C9C">
      <w:pPr>
        <w:rPr>
          <w:noProof/>
          <w:sz w:val="24"/>
          <w:szCs w:val="24"/>
        </w:rPr>
      </w:pPr>
    </w:p>
    <w:p w:rsidR="00BB3C9C" w:rsidRPr="00F95B60" w:rsidRDefault="00BB3C9C" w:rsidP="00BB3C9C">
      <w:pPr>
        <w:rPr>
          <w:sz w:val="24"/>
          <w:szCs w:val="24"/>
        </w:rPr>
      </w:pPr>
      <w:r w:rsidRPr="00EE1DFD">
        <w:rPr>
          <w:noProof/>
          <w:sz w:val="24"/>
          <w:szCs w:val="24"/>
        </w:rPr>
        <w:drawing>
          <wp:inline distT="0" distB="0" distL="0" distR="0">
            <wp:extent cx="5943600" cy="2498651"/>
            <wp:effectExtent l="0" t="0" r="0" b="0"/>
            <wp:docPr id="1" name="Рисунок 1" descr="https://www.zdrav.ru/images/2017-2/Desember/08_12_ocenka_bol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zdrav.ru/images/2017-2/Desember/08_12_ocenka_boli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507"/>
                    <a:stretch/>
                  </pic:blipFill>
                  <pic:spPr bwMode="auto">
                    <a:xfrm>
                      <a:off x="0" y="0"/>
                      <a:ext cx="5943600" cy="249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C9C" w:rsidRPr="00F95B60" w:rsidRDefault="00BB3C9C" w:rsidP="00BB3C9C">
      <w:pPr>
        <w:rPr>
          <w:sz w:val="24"/>
          <w:szCs w:val="24"/>
        </w:rPr>
      </w:pPr>
    </w:p>
    <w:p w:rsidR="00BB3C9C" w:rsidRPr="00F95B60" w:rsidRDefault="00BB3C9C" w:rsidP="00BB3C9C">
      <w:pPr>
        <w:rPr>
          <w:sz w:val="24"/>
          <w:szCs w:val="24"/>
        </w:rPr>
      </w:pPr>
    </w:p>
    <w:p w:rsidR="00BB3C9C" w:rsidRPr="00F95B60" w:rsidRDefault="00BB3C9C" w:rsidP="00BB3C9C">
      <w:pPr>
        <w:rPr>
          <w:sz w:val="24"/>
          <w:szCs w:val="24"/>
        </w:rPr>
      </w:pPr>
      <w:r>
        <w:rPr>
          <w:color w:val="2B2B2B"/>
          <w:sz w:val="24"/>
          <w:szCs w:val="24"/>
          <w:shd w:val="clear" w:color="auto" w:fill="FFFFFF"/>
        </w:rPr>
        <w:t xml:space="preserve">5. </w:t>
      </w:r>
      <w:r w:rsidRPr="00F95B60">
        <w:rPr>
          <w:color w:val="2B2B2B"/>
          <w:sz w:val="24"/>
          <w:szCs w:val="24"/>
          <w:shd w:val="clear" w:color="auto" w:fill="FFFFFF"/>
        </w:rPr>
        <w:t xml:space="preserve"> К невербальным признакам боли (маркерам боли) относятся:  влажная кожа; тахикардия и </w:t>
      </w:r>
      <w:proofErr w:type="spellStart"/>
      <w:r w:rsidRPr="00F95B60">
        <w:rPr>
          <w:color w:val="2B2B2B"/>
          <w:sz w:val="24"/>
          <w:szCs w:val="24"/>
          <w:shd w:val="clear" w:color="auto" w:fill="FFFFFF"/>
        </w:rPr>
        <w:t>тахипноэ</w:t>
      </w:r>
      <w:proofErr w:type="spellEnd"/>
      <w:r w:rsidRPr="00F95B60">
        <w:rPr>
          <w:color w:val="2B2B2B"/>
          <w:sz w:val="24"/>
          <w:szCs w:val="24"/>
          <w:shd w:val="clear" w:color="auto" w:fill="FFFFFF"/>
        </w:rPr>
        <w:t>, не связанные с заболеванием; слезы, влажные глаза; расширение зрачков; вынужденная поза; характерная мимика: сжатые зубы, напряжение мимической мускулатуры лица (нахмуренный лоб, поджатые губы); прижатие рукой места локализации боли, поглаживание и растирание его; нарушение глазного контакта (бегающие глаза); изменение речи (темпа, связности, стиля); поведенческие реакции (двигательное беспокойство, постукивание пальцами, непоседливость);</w:t>
      </w:r>
    </w:p>
    <w:p w:rsidR="00080C43" w:rsidRDefault="00080C43"/>
    <w:sectPr w:rsidR="0008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88"/>
    <w:rsid w:val="00080C43"/>
    <w:rsid w:val="00BB3C9C"/>
    <w:rsid w:val="00E1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30B7"/>
  <w15:chartTrackingRefBased/>
  <w15:docId w15:val="{0962A038-03CF-4297-9D59-9AAAB5BF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B3C9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B3C9C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3">
    <w:name w:val=" Знак Знак3"/>
    <w:basedOn w:val="a"/>
    <w:rsid w:val="00BB3C9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2024-07-08T07:18:00Z</dcterms:created>
  <dcterms:modified xsi:type="dcterms:W3CDTF">2024-07-08T07:20:00Z</dcterms:modified>
</cp:coreProperties>
</file>